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3463" w14:textId="77777777" w:rsidR="003E5011" w:rsidRDefault="003E5011" w:rsidP="00B413FC">
      <w:pPr>
        <w:spacing w:after="0" w:line="480" w:lineRule="atLeast"/>
        <w:jc w:val="center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990000"/>
          <w:kern w:val="36"/>
          <w:sz w:val="56"/>
          <w:szCs w:val="56"/>
          <w:lang w:eastAsia="cs-CZ"/>
        </w:rPr>
      </w:pPr>
      <w:r w:rsidRPr="003E5011">
        <w:rPr>
          <w:rFonts w:ascii="Source Sans Pro" w:eastAsia="Times New Roman" w:hAnsi="Source Sans Pro" w:cs="Times New Roman"/>
          <w:b/>
          <w:bCs/>
          <w:color w:val="990000"/>
          <w:kern w:val="36"/>
          <w:sz w:val="56"/>
          <w:szCs w:val="56"/>
          <w:lang w:eastAsia="cs-CZ"/>
        </w:rPr>
        <w:t>Moření česneku, příprava česnekové sadby mořením</w:t>
      </w:r>
    </w:p>
    <w:p w14:paraId="27D96EB8" w14:textId="77777777" w:rsidR="003E5011" w:rsidRPr="003E5011" w:rsidRDefault="003E5011" w:rsidP="003E5011">
      <w:pPr>
        <w:spacing w:after="0" w:line="480" w:lineRule="atLeast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990000"/>
          <w:kern w:val="36"/>
          <w:sz w:val="56"/>
          <w:szCs w:val="56"/>
          <w:lang w:eastAsia="cs-CZ"/>
        </w:rPr>
      </w:pPr>
    </w:p>
    <w:p w14:paraId="5B794305" w14:textId="6E915E43" w:rsidR="003E5011" w:rsidRDefault="003E5011" w:rsidP="003E501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noProof/>
          <w:color w:val="5A5A5A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       </w:t>
      </w:r>
      <w:r w:rsidRPr="003E5011">
        <w:rPr>
          <w:rFonts w:ascii="Verdana" w:eastAsia="Times New Roman" w:hAnsi="Verdana" w:cs="Times New Roman"/>
          <w:noProof/>
          <w:color w:val="000000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 wp14:anchorId="35826276" wp14:editId="66081C09">
            <wp:extent cx="3390900" cy="2543175"/>
            <wp:effectExtent l="0" t="0" r="0" b="9525"/>
            <wp:docPr id="1" name="Obrázek 1" descr="Sadba česneku Karel IV.">
              <a:hlinkClick xmlns:a="http://schemas.openxmlformats.org/drawingml/2006/main" r:id="rId4" tooltip="&quot;Moření česneku, příprava česnekové sadby moření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ba česneku Karel IV.">
                      <a:hlinkClick r:id="rId4" tooltip="&quot;Moření česneku, příprava česnekové sadby moření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829" cy="255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noProof/>
          <w:color w:val="5A5A5A"/>
          <w:sz w:val="20"/>
          <w:szCs w:val="20"/>
          <w:lang w:eastAsia="cs-CZ"/>
        </w:rPr>
        <w:t xml:space="preserve">      </w:t>
      </w:r>
      <w:r w:rsidR="0071524B">
        <w:rPr>
          <w:rFonts w:ascii="Verdana" w:eastAsia="Times New Roman" w:hAnsi="Verdana" w:cs="Times New Roman"/>
          <w:noProof/>
          <w:color w:val="5A5A5A"/>
          <w:sz w:val="20"/>
          <w:szCs w:val="20"/>
          <w:lang w:eastAsia="cs-CZ"/>
        </w:rPr>
        <w:drawing>
          <wp:inline distT="0" distB="0" distL="0" distR="0" wp14:anchorId="59DA1677" wp14:editId="2191FEE9">
            <wp:extent cx="1371600" cy="2590801"/>
            <wp:effectExtent l="0" t="0" r="0" b="0"/>
            <wp:docPr id="2078200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0087" name="Obrázek 2078200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14" cy="26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CFDE1" w14:textId="77777777" w:rsidR="003E5011" w:rsidRDefault="003E5011" w:rsidP="003E501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noProof/>
          <w:color w:val="5A5A5A"/>
          <w:sz w:val="20"/>
          <w:szCs w:val="20"/>
          <w:lang w:eastAsia="cs-CZ"/>
        </w:rPr>
      </w:pPr>
    </w:p>
    <w:p w14:paraId="4B7487D7" w14:textId="77777777" w:rsidR="003E5011" w:rsidRPr="003E5011" w:rsidRDefault="003E5011" w:rsidP="003E501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</w:pPr>
    </w:p>
    <w:p w14:paraId="508C1A8C" w14:textId="77777777" w:rsidR="003E5011" w:rsidRPr="003E5011" w:rsidRDefault="003E5011" w:rsidP="003E5011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</w:pP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Příprava sadby mořením – moření </w:t>
      </w:r>
      <w:hyperlink r:id="rId7" w:history="1">
        <w:r w:rsidRPr="003E5011">
          <w:rPr>
            <w:rFonts w:ascii="Verdana" w:eastAsia="Times New Roman" w:hAnsi="Verdana" w:cs="Times New Roman"/>
            <w:color w:val="000000"/>
            <w:sz w:val="20"/>
            <w:szCs w:val="20"/>
            <w:u w:val="single"/>
            <w:bdr w:val="none" w:sz="0" w:space="0" w:color="auto" w:frame="1"/>
            <w:lang w:eastAsia="cs-CZ"/>
          </w:rPr>
          <w:t>česnekové sadby</w:t>
        </w:r>
      </w:hyperlink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 je v současnosti silně omezené nedostatkem registrovaných přípravků. Pro výsadbu důrazně doporučujeme používat pouze sadbu zdravou, prostou </w:t>
      </w:r>
      <w:proofErr w:type="spell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vlnovníka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česnekového. Vzhledem k tomu, že se výskyt tohoto škůdce v posledních letech značně rozšířil, doporučujeme sadbu česneku v každém případě ošetřit mořením, a to těsně před výsadbou. Eliminujeme tak tohoto škůdce, který se na česnekovou sadbu mohl dostat při jejím skladování před výsadbou ze skladových prostor nebo z česneku konzumního (proto doporučujeme skladovat sadbu česneku zásadně odděleně od česneku konzumního). Za základ moření považujeme přípravek Sulka (</w:t>
      </w:r>
      <w:proofErr w:type="gram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5%</w:t>
      </w:r>
      <w:proofErr w:type="gram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) proti vlnovníku česnekovému. Česnek moříme po dobu 6 až 12 hodin v 4% roztoku Sulky (dodržujte informace uvedené na balení přípravku). Mořicí roztok nepoužíváme opakovaně. Proti háďátku zhoubnému téměř neúčinkuje, ale originální sadba je testovaná na jeho přítomnost a háďátko neobsahuje. Na sadbě naší odrůdy česneku </w:t>
      </w:r>
      <w:r w:rsidRPr="003E5011">
        <w:rPr>
          <w:rFonts w:ascii="Verdana" w:eastAsia="Times New Roman" w:hAnsi="Verdana" w:cs="Times New Roman"/>
          <w:b/>
          <w:bCs/>
          <w:color w:val="5A5A5A"/>
          <w:sz w:val="20"/>
          <w:szCs w:val="20"/>
          <w:bdr w:val="none" w:sz="0" w:space="0" w:color="auto" w:frame="1"/>
          <w:lang w:eastAsia="cs-CZ"/>
        </w:rPr>
        <w:t>Karel</w:t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 bylo úspěšně odzkoušeno moření přípravkem </w:t>
      </w:r>
      <w:proofErr w:type="spell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fldChar w:fldCharType="begin"/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instrText xml:space="preserve"> HYPERLINK "https://www.semo.cz/eshop/gliorex-rostlinny-pripravek-od-firmy-fytovita-7419-01/" </w:instrText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fldChar w:fldCharType="separate"/>
      </w:r>
      <w:r w:rsidRPr="003E5011">
        <w:rPr>
          <w:rFonts w:ascii="Verdana" w:eastAsia="Times New Roman" w:hAnsi="Verdana" w:cs="Times New Roman"/>
          <w:color w:val="000000"/>
          <w:sz w:val="20"/>
          <w:szCs w:val="20"/>
          <w:u w:val="single"/>
          <w:bdr w:val="none" w:sz="0" w:space="0" w:color="auto" w:frame="1"/>
          <w:lang w:eastAsia="cs-CZ"/>
        </w:rPr>
        <w:t>Gliorex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fldChar w:fldCharType="end"/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.</w:t>
      </w:r>
    </w:p>
    <w:p w14:paraId="29E345BA" w14:textId="77777777" w:rsidR="003E5011" w:rsidRPr="003E5011" w:rsidRDefault="003E5011" w:rsidP="003E5011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</w:pPr>
      <w:hyperlink r:id="rId8" w:history="1">
        <w:proofErr w:type="spellStart"/>
        <w:r w:rsidRPr="003E5011">
          <w:rPr>
            <w:rFonts w:ascii="Verdana" w:eastAsia="Times New Roman" w:hAnsi="Verdana" w:cs="Times New Roman"/>
            <w:color w:val="000000"/>
            <w:sz w:val="20"/>
            <w:szCs w:val="20"/>
            <w:u w:val="single"/>
            <w:bdr w:val="none" w:sz="0" w:space="0" w:color="auto" w:frame="1"/>
            <w:lang w:eastAsia="cs-CZ"/>
          </w:rPr>
          <w:t>Gliorex</w:t>
        </w:r>
        <w:proofErr w:type="spellEnd"/>
      </w:hyperlink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 je pomocný rostlinný přípravek (od výrobce FYTOVITA, spol. s r. o.). Obsahuje spory hub (konidie hub rodů 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Clonostachys</w:t>
      </w:r>
      <w:proofErr w:type="spellEnd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 </w:t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a 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Trichoderma</w:t>
      </w:r>
      <w:proofErr w:type="spellEnd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)</w:t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 přirozeně se vyskytujících v půdě, které mají schopnost pro rostlinu rozkládat organické zbytky v půdě a tím zvyšovat příjem živin z půdy. </w:t>
      </w:r>
      <w:proofErr w:type="spell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Gliorex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je rovněž schopen přes zimní období rozložit klidová mycelia některých hub (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Claviceps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, 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Sclerotinia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, 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Botrytis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, 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Rhizoctonia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, </w:t>
      </w:r>
      <w:proofErr w:type="spellStart"/>
      <w:r w:rsidRPr="003E5011">
        <w:rPr>
          <w:rFonts w:ascii="Verdana" w:eastAsia="Times New Roman" w:hAnsi="Verdana" w:cs="Times New Roman"/>
          <w:i/>
          <w:iCs/>
          <w:color w:val="5A5A5A"/>
          <w:sz w:val="20"/>
          <w:szCs w:val="20"/>
          <w:bdr w:val="none" w:sz="0" w:space="0" w:color="auto" w:frame="1"/>
          <w:lang w:eastAsia="cs-CZ"/>
        </w:rPr>
        <w:t>Verticillium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).</w:t>
      </w:r>
    </w:p>
    <w:p w14:paraId="0EF6B462" w14:textId="77777777" w:rsidR="003E5011" w:rsidRPr="003E5011" w:rsidRDefault="003E5011" w:rsidP="003E5011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</w:pPr>
      <w:hyperlink r:id="rId9" w:history="1">
        <w:proofErr w:type="spellStart"/>
        <w:r w:rsidRPr="003E5011">
          <w:rPr>
            <w:rFonts w:ascii="Verdana" w:eastAsia="Times New Roman" w:hAnsi="Verdana" w:cs="Times New Roman"/>
            <w:color w:val="000000"/>
            <w:sz w:val="20"/>
            <w:szCs w:val="20"/>
            <w:u w:val="single"/>
            <w:bdr w:val="none" w:sz="0" w:space="0" w:color="auto" w:frame="1"/>
            <w:lang w:eastAsia="cs-CZ"/>
          </w:rPr>
          <w:t>Gliorex</w:t>
        </w:r>
        <w:proofErr w:type="spellEnd"/>
      </w:hyperlink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 je určen k aplikaci do půdy. Přípravek lze aplikovat na povrch půdy s následným zapravením do hloubky cca </w:t>
      </w:r>
      <w:proofErr w:type="gram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5 – 10</w:t>
      </w:r>
      <w:proofErr w:type="gram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cm před výsadbou (v dávce 4 gramy na 10 m</w:t>
      </w:r>
      <w:r w:rsidRPr="003E5011">
        <w:rPr>
          <w:rFonts w:ascii="Verdana" w:eastAsia="Times New Roman" w:hAnsi="Verdana" w:cs="Times New Roman"/>
          <w:color w:val="5A5A5A"/>
          <w:sz w:val="15"/>
          <w:szCs w:val="15"/>
          <w:bdr w:val="none" w:sz="0" w:space="0" w:color="auto" w:frame="1"/>
          <w:vertAlign w:val="superscript"/>
          <w:lang w:eastAsia="cs-CZ"/>
        </w:rPr>
        <w:t>2</w:t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), nejlépe společnou aplikací s anorganickými hnojivy nebo mořením sadby (10 gramů na 1 kg sadby). Moření sadby česneku Karel před výsadbou mělo velmi příznivý vliv na zdravotní stav česneku, jeho výnos i kvalitu sklizeného česneku. Sadbu česneku moříme těsně před výsadbou. Mořící suspenzi připravíme z 10 g přípravku </w:t>
      </w:r>
      <w:proofErr w:type="spell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Gliorex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ve 200 ml vody. Tato suspenze stačí na ošetření 1 kg sadby česneku. Suspenzi vlijeme na 1 kg stroužků v PE sáčku nebo nádobě a v průběhu 1/2 hodiny několikrát řádně, ale opatrně protřepeme, aby všechny stroužky byly celé smočeny, pak obsah vysypeme a necháme do druhého dne oschnout. Také doporučujeme ještě po výsadbě ošetřit povrch záhonu zálivkou suspenzí </w:t>
      </w:r>
      <w:proofErr w:type="spell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Gliorexu</w:t>
      </w:r>
      <w:proofErr w:type="spell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(</w:t>
      </w:r>
      <w:proofErr w:type="gramStart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2 – 4</w:t>
      </w:r>
      <w:proofErr w:type="gramEnd"/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 xml:space="preserve"> g/10 l na 10 m</w:t>
      </w:r>
      <w:r w:rsidRPr="003E5011">
        <w:rPr>
          <w:rFonts w:ascii="Verdana" w:eastAsia="Times New Roman" w:hAnsi="Verdana" w:cs="Times New Roman"/>
          <w:color w:val="5A5A5A"/>
          <w:sz w:val="15"/>
          <w:szCs w:val="15"/>
          <w:bdr w:val="none" w:sz="0" w:space="0" w:color="auto" w:frame="1"/>
          <w:vertAlign w:val="superscript"/>
          <w:lang w:eastAsia="cs-CZ"/>
        </w:rPr>
        <w:t>2</w:t>
      </w:r>
      <w:r w:rsidRPr="003E5011">
        <w:rPr>
          <w:rFonts w:ascii="Verdana" w:eastAsia="Times New Roman" w:hAnsi="Verdana" w:cs="Times New Roman"/>
          <w:color w:val="5A5A5A"/>
          <w:sz w:val="20"/>
          <w:szCs w:val="20"/>
          <w:lang w:eastAsia="cs-CZ"/>
        </w:rPr>
        <w:t>) a tuto zálivku opakovat ještě i na jaře po rozmrznutí půdy.</w:t>
      </w:r>
    </w:p>
    <w:p w14:paraId="2972D5D7" w14:textId="77777777" w:rsidR="00480EC2" w:rsidRDefault="00480EC2"/>
    <w:sectPr w:rsidR="0048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11"/>
    <w:rsid w:val="003E5011"/>
    <w:rsid w:val="00480EC2"/>
    <w:rsid w:val="0071524B"/>
    <w:rsid w:val="00B413FC"/>
    <w:rsid w:val="00F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BFE6"/>
  <w15:chartTrackingRefBased/>
  <w15:docId w15:val="{8E5A57DB-20B2-4F3D-ACE0-6B9CD99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5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0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excerpt-date">
    <w:name w:val="excerpt-date"/>
    <w:basedOn w:val="Normln"/>
    <w:rsid w:val="003E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E50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E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5011"/>
    <w:rPr>
      <w:b/>
      <w:bCs/>
    </w:rPr>
  </w:style>
  <w:style w:type="character" w:styleId="Zdraznn">
    <w:name w:val="Emphasis"/>
    <w:basedOn w:val="Standardnpsmoodstavce"/>
    <w:uiPriority w:val="20"/>
    <w:qFormat/>
    <w:rsid w:val="003E5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o.cz/eshop/gliorex-rostlinny-pripravek-od-firmy-fytovita-7419-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mo.cz/osivo-semena/hobby/zelenina/cesnek-ozim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semo.cz/wp-content/uploads/novinky/semo-aktuality-sadba-cesneku-karel-iv-hromada-1024x683.jpg" TargetMode="External"/><Relationship Id="rId9" Type="http://schemas.openxmlformats.org/officeDocument/2006/relationships/hyperlink" Target="https://www.semo.cz/eshop/gliorex-rostlinny-pripravek-od-firmy-fytovita-7419-01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agri@agrislatinice.cz</dc:creator>
  <cp:keywords/>
  <dc:description/>
  <cp:lastModifiedBy>Milan Hlavík</cp:lastModifiedBy>
  <cp:revision>4</cp:revision>
  <dcterms:created xsi:type="dcterms:W3CDTF">2020-06-24T14:36:00Z</dcterms:created>
  <dcterms:modified xsi:type="dcterms:W3CDTF">2025-08-25T11:53:00Z</dcterms:modified>
</cp:coreProperties>
</file>